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left="0" w:firstLine="0"/>
        <w:rPr/>
      </w:pPr>
      <w:r w:rsidDel="00000000" w:rsidR="00000000" w:rsidRPr="00000000">
        <w:rPr>
          <w:rtl w:val="0"/>
        </w:rPr>
        <w:t xml:space="preserve">MINUTES</w:t>
      </w:r>
    </w:p>
    <w:p w:rsidR="00000000" w:rsidDel="00000000" w:rsidP="00000000" w:rsidRDefault="00000000" w:rsidRPr="00000000" w14:paraId="00000002">
      <w:pPr>
        <w:pBdr>
          <w:bottom w:color="000000" w:space="1" w:sz="12" w:val="single"/>
        </w:pBdr>
        <w:ind w:left="0" w:firstLine="0"/>
        <w:rPr>
          <w:b w:val="1"/>
          <w:color w:val="0000cc"/>
          <w:sz w:val="32"/>
          <w:szCs w:val="32"/>
        </w:rPr>
      </w:pPr>
      <w:r w:rsidDel="00000000" w:rsidR="00000000" w:rsidRPr="00000000">
        <w:rPr>
          <w:b w:val="1"/>
          <w:color w:val="0000cc"/>
          <w:sz w:val="32"/>
          <w:szCs w:val="32"/>
          <w:rtl w:val="0"/>
        </w:rPr>
        <w:t xml:space="preserve">GOVERNANCE COUNCIL – February 5th, 2024</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Members Present:</w:t>
      </w:r>
      <w:r w:rsidDel="00000000" w:rsidR="00000000" w:rsidRPr="00000000">
        <w:rPr>
          <w:b w:val="1"/>
          <w:rtl w:val="0"/>
        </w:rPr>
        <w:t xml:space="preserve"> </w:t>
      </w:r>
      <w:r w:rsidDel="00000000" w:rsidR="00000000" w:rsidRPr="00000000">
        <w:rPr>
          <w:rtl w:val="0"/>
        </w:rPr>
        <w:t xml:space="preserve">Kendra Sprague, </w:t>
      </w:r>
      <w:r w:rsidDel="00000000" w:rsidR="00000000" w:rsidRPr="00000000">
        <w:rPr>
          <w:rtl w:val="0"/>
        </w:rPr>
        <w:t xml:space="preserve">Kristen Finnel, Wendy Hall, Sue Orchard, Nolan Wheeler,</w:t>
      </w:r>
      <w:r w:rsidDel="00000000" w:rsidR="00000000" w:rsidRPr="00000000">
        <w:rPr>
          <w:rtl w:val="0"/>
        </w:rPr>
        <w:t xml:space="preserve"> </w:t>
      </w:r>
      <w:r w:rsidDel="00000000" w:rsidR="00000000" w:rsidRPr="00000000">
        <w:rPr>
          <w:rtl w:val="0"/>
        </w:rPr>
        <w:t xml:space="preserve">Michal Ann Ure</w:t>
      </w:r>
      <w:r w:rsidDel="00000000" w:rsidR="00000000" w:rsidRPr="00000000">
        <w:rPr>
          <w:rtl w:val="0"/>
        </w:rPr>
        <w:t xml:space="preserve">, </w:t>
      </w:r>
      <w:r w:rsidDel="00000000" w:rsidR="00000000" w:rsidRPr="00000000">
        <w:rPr>
          <w:rtl w:val="0"/>
        </w:rPr>
        <w:t xml:space="preserve">Catie Graham,</w:t>
      </w:r>
      <w:r w:rsidDel="00000000" w:rsidR="00000000" w:rsidRPr="00000000">
        <w:rPr>
          <w:rtl w:val="0"/>
        </w:rPr>
        <w:t xml:space="preserve"> </w:t>
      </w:r>
      <w:r w:rsidDel="00000000" w:rsidR="00000000" w:rsidRPr="00000000">
        <w:rPr>
          <w:rtl w:val="0"/>
        </w:rPr>
        <w:t xml:space="preserve">Dana Cummings, Amber Lemiere, Shane Prine (Tenure Track),</w:t>
      </w:r>
      <w:r w:rsidDel="00000000" w:rsidR="00000000" w:rsidRPr="00000000">
        <w:rPr>
          <w:rtl w:val="0"/>
        </w:rPr>
        <w:t xml:space="preserve"> Dan Ruiz (Guest), and Hannah Palenske.</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pStyle w:val="Heading2"/>
        <w:numPr>
          <w:ilvl w:val="0"/>
          <w:numId w:val="1"/>
        </w:numPr>
        <w:ind w:left="1440" w:hanging="720"/>
        <w:rPr>
          <w:b w:val="1"/>
        </w:rPr>
      </w:pPr>
      <w:r w:rsidDel="00000000" w:rsidR="00000000" w:rsidRPr="00000000">
        <w:rPr>
          <w:b w:val="1"/>
          <w:rtl w:val="0"/>
        </w:rPr>
        <w:t xml:space="preserve">Approval of Minutes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tabs>
          <w:tab w:val="left" w:leader="none" w:pos="3600"/>
        </w:tabs>
        <w:ind w:left="3600" w:hanging="2160"/>
        <w:rPr/>
      </w:pPr>
      <w:bookmarkStart w:colFirst="0" w:colLast="0" w:name="_heading=h.gjdgxs" w:id="0"/>
      <w:bookmarkEnd w:id="0"/>
      <w:r w:rsidDel="00000000" w:rsidR="00000000" w:rsidRPr="00000000">
        <w:rPr>
          <w:b w:val="1"/>
          <w:rtl w:val="0"/>
        </w:rPr>
        <w:t xml:space="preserve">MOTION:</w:t>
        <w:tab/>
      </w:r>
      <w:r w:rsidDel="00000000" w:rsidR="00000000" w:rsidRPr="00000000">
        <w:rPr>
          <w:rtl w:val="0"/>
        </w:rPr>
        <w:t xml:space="preserve">By Kendra Sprague, seconded by Wendy Hall,</w:t>
      </w:r>
    </w:p>
    <w:p w:rsidR="00000000" w:rsidDel="00000000" w:rsidP="00000000" w:rsidRDefault="00000000" w:rsidRPr="00000000" w14:paraId="00000008">
      <w:pPr>
        <w:tabs>
          <w:tab w:val="left" w:leader="none" w:pos="3600"/>
        </w:tabs>
        <w:ind w:left="3600" w:hanging="2160"/>
        <w:rPr/>
      </w:pPr>
      <w:r w:rsidDel="00000000" w:rsidR="00000000" w:rsidRPr="00000000">
        <w:rPr>
          <w:rtl w:val="0"/>
        </w:rPr>
      </w:r>
    </w:p>
    <w:p w:rsidR="00000000" w:rsidDel="00000000" w:rsidP="00000000" w:rsidRDefault="00000000" w:rsidRPr="00000000" w14:paraId="00000009">
      <w:pPr>
        <w:tabs>
          <w:tab w:val="left" w:leader="none" w:pos="3600"/>
        </w:tabs>
        <w:ind w:left="3600" w:hanging="2160"/>
        <w:rPr/>
      </w:pPr>
      <w:r w:rsidDel="00000000" w:rsidR="00000000" w:rsidRPr="00000000">
        <w:rPr>
          <w:rtl w:val="0"/>
        </w:rPr>
        <w:tab/>
        <w:t xml:space="preserve">That the minutes of November 6, 2024, be approved.</w:t>
      </w:r>
    </w:p>
    <w:p w:rsidR="00000000" w:rsidDel="00000000" w:rsidP="00000000" w:rsidRDefault="00000000" w:rsidRPr="00000000" w14:paraId="0000000A">
      <w:pPr>
        <w:tabs>
          <w:tab w:val="left" w:leader="none" w:pos="3432"/>
        </w:tabs>
        <w:ind w:left="3600" w:hanging="2160"/>
        <w:rPr/>
      </w:pPr>
      <w:r w:rsidDel="00000000" w:rsidR="00000000" w:rsidRPr="00000000">
        <w:rPr>
          <w:rtl w:val="0"/>
        </w:rPr>
      </w:r>
    </w:p>
    <w:p w:rsidR="00000000" w:rsidDel="00000000" w:rsidP="00000000" w:rsidRDefault="00000000" w:rsidRPr="00000000" w14:paraId="0000000B">
      <w:pPr>
        <w:ind w:left="1440" w:firstLine="0"/>
        <w:rPr/>
      </w:pPr>
      <w:r w:rsidDel="00000000" w:rsidR="00000000" w:rsidRPr="00000000">
        <w:rPr>
          <w:b w:val="1"/>
          <w:rtl w:val="0"/>
        </w:rPr>
        <w:t xml:space="preserve">MOTION CARRIED</w:t>
      </w:r>
      <w:r w:rsidDel="00000000" w:rsidR="00000000" w:rsidRPr="00000000">
        <w:rPr>
          <w:rtl w:val="0"/>
        </w:rPr>
        <w:t xml:space="preserve"> </w:t>
      </w:r>
      <w:r w:rsidDel="00000000" w:rsidR="00000000" w:rsidRPr="00000000">
        <w:rPr>
          <w:b w:val="1"/>
          <w:rtl w:val="0"/>
        </w:rPr>
        <w:t xml:space="preserve">unanimously</w:t>
      </w:r>
      <w:r w:rsidDel="00000000" w:rsidR="00000000" w:rsidRPr="00000000">
        <w:rPr>
          <w:rtl w:val="0"/>
        </w:rPr>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numPr>
          <w:ilvl w:val="0"/>
          <w:numId w:val="1"/>
        </w:numPr>
        <w:ind w:left="1440" w:hanging="720"/>
        <w:rPr>
          <w:b w:val="1"/>
        </w:rPr>
      </w:pPr>
      <w:r w:rsidDel="00000000" w:rsidR="00000000" w:rsidRPr="00000000">
        <w:rPr>
          <w:b w:val="1"/>
          <w:rtl w:val="0"/>
        </w:rPr>
        <w:t xml:space="preserve">Dan Ruiz Presentation</w:t>
      </w:r>
    </w:p>
    <w:p w:rsidR="00000000" w:rsidDel="00000000" w:rsidP="00000000" w:rsidRDefault="00000000" w:rsidRPr="00000000" w14:paraId="0000000E">
      <w:pPr>
        <w:ind w:left="1440" w:firstLine="0"/>
        <w:rPr/>
      </w:pPr>
      <w:r w:rsidDel="00000000" w:rsidR="00000000" w:rsidRPr="00000000">
        <w:rPr>
          <w:rtl w:val="0"/>
        </w:rPr>
        <w:t xml:space="preserve">Dan Ruiz, Executive Director of Diversity, Equity, and Inclusion (DEI), provided an update on DEI projects and goals. He also introduced the new DEI procedure, emphasizing that Lower Columbia College is taking a leading role in regional DEI initiatives.</w:t>
      </w:r>
    </w:p>
    <w:p w:rsidR="00000000" w:rsidDel="00000000" w:rsidP="00000000" w:rsidRDefault="00000000" w:rsidRPr="00000000" w14:paraId="0000000F">
      <w:pPr>
        <w:ind w:left="1440" w:firstLine="0"/>
        <w:rPr>
          <w:b w:val="1"/>
        </w:rPr>
      </w:pPr>
      <w:r w:rsidDel="00000000" w:rsidR="00000000" w:rsidRPr="00000000">
        <w:rPr>
          <w:rtl w:val="0"/>
        </w:rPr>
      </w:r>
    </w:p>
    <w:p w:rsidR="00000000" w:rsidDel="00000000" w:rsidP="00000000" w:rsidRDefault="00000000" w:rsidRPr="00000000" w14:paraId="00000010">
      <w:pPr>
        <w:numPr>
          <w:ilvl w:val="0"/>
          <w:numId w:val="1"/>
        </w:numPr>
        <w:ind w:left="1440" w:hanging="720"/>
        <w:rPr>
          <w:b w:val="1"/>
        </w:rPr>
      </w:pPr>
      <w:r w:rsidDel="00000000" w:rsidR="00000000" w:rsidRPr="00000000">
        <w:rPr>
          <w:b w:val="1"/>
          <w:rtl w:val="0"/>
        </w:rPr>
        <w:t xml:space="preserve">Policies &amp; Procedures:</w:t>
      </w:r>
    </w:p>
    <w:p w:rsidR="00000000" w:rsidDel="00000000" w:rsidP="00000000" w:rsidRDefault="00000000" w:rsidRPr="00000000" w14:paraId="00000011">
      <w:pPr>
        <w:numPr>
          <w:ilvl w:val="1"/>
          <w:numId w:val="1"/>
        </w:numPr>
        <w:ind w:left="1800" w:hanging="360"/>
      </w:pPr>
      <w:r w:rsidDel="00000000" w:rsidR="00000000" w:rsidRPr="00000000">
        <w:rPr>
          <w:rtl w:val="0"/>
        </w:rPr>
        <w:t xml:space="preserve">DEI Procedure 220.1A - Diversity, Equity, &amp; Inclusion Programs</w:t>
      </w:r>
    </w:p>
    <w:p w:rsidR="00000000" w:rsidDel="00000000" w:rsidP="00000000" w:rsidRDefault="00000000" w:rsidRPr="00000000" w14:paraId="00000012">
      <w:pPr>
        <w:numPr>
          <w:ilvl w:val="2"/>
          <w:numId w:val="1"/>
        </w:numPr>
        <w:spacing w:after="240" w:before="240" w:lineRule="auto"/>
        <w:ind w:left="2520" w:hanging="180"/>
      </w:pPr>
      <w:r w:rsidDel="00000000" w:rsidR="00000000" w:rsidRPr="00000000">
        <w:rPr>
          <w:rtl w:val="0"/>
        </w:rPr>
        <w:t xml:space="preserve">Amber Lemiere inquired about the process for submitting DEI projects for review, seeking clarification on the submission process. Catie Graham asked whether the procedure pertains to documentation alone or includes approval or denial of initiatives. Mr. Ruiz explained that initiatives must align with the college’s mission, vision, and DEI strategic plan, and those that do not align may be subject to approval or denial. He further clarified that the procedure is intended for review and adjustment purposes.</w:t>
      </w:r>
    </w:p>
    <w:p w:rsidR="00000000" w:rsidDel="00000000" w:rsidP="00000000" w:rsidRDefault="00000000" w:rsidRPr="00000000" w14:paraId="00000013">
      <w:pPr>
        <w:numPr>
          <w:ilvl w:val="2"/>
          <w:numId w:val="1"/>
        </w:numPr>
        <w:spacing w:after="240" w:before="240" w:lineRule="auto"/>
        <w:ind w:left="2520" w:hanging="180"/>
      </w:pPr>
      <w:r w:rsidDel="00000000" w:rsidR="00000000" w:rsidRPr="00000000">
        <w:rPr>
          <w:rtl w:val="0"/>
        </w:rPr>
        <w:t xml:space="preserve">Ms. Lemiere also requested a clearer definition of "all DEI initiatives," suggesting that language be refined to distinguish between formal initiatives and informal conversations. She acknowledged the emotions surrounding the current political climate, to which Mr. Ruiz responded that the procedure was developed specifically in response to these challenges. Additionally, Ms. Lemiere shared concerns on behalf of her colleagues regarding the anxiety and fear associated with having DEI attached to their work, highlighting the challenges that arise when navigating politically sensitive environments.</w:t>
      </w:r>
    </w:p>
    <w:p w:rsidR="00000000" w:rsidDel="00000000" w:rsidP="00000000" w:rsidRDefault="00000000" w:rsidRPr="00000000" w14:paraId="00000014">
      <w:pPr>
        <w:numPr>
          <w:ilvl w:val="2"/>
          <w:numId w:val="1"/>
        </w:numPr>
        <w:spacing w:after="240" w:before="240" w:lineRule="auto"/>
        <w:ind w:left="2520" w:hanging="180"/>
      </w:pPr>
      <w:r w:rsidDel="00000000" w:rsidR="00000000" w:rsidRPr="00000000">
        <w:rPr>
          <w:rtl w:val="0"/>
        </w:rPr>
        <w:t xml:space="preserve">The council also discussed the importance of transparency, emphasizing that all stakeholders should be informed about administrative decisions related to the procedure. Governance Council members will review the procedure further and provide feedback during the next Governance Council meeting.</w:t>
      </w:r>
    </w:p>
    <w:p w:rsidR="00000000" w:rsidDel="00000000" w:rsidP="00000000" w:rsidRDefault="00000000" w:rsidRPr="00000000" w14:paraId="00000015">
      <w:pPr>
        <w:numPr>
          <w:ilvl w:val="1"/>
          <w:numId w:val="1"/>
        </w:numPr>
        <w:ind w:left="1800" w:hanging="360"/>
        <w:rPr>
          <w:b w:val="1"/>
        </w:rPr>
      </w:pPr>
      <w:r w:rsidDel="00000000" w:rsidR="00000000" w:rsidRPr="00000000">
        <w:rPr>
          <w:b w:val="1"/>
          <w:rtl w:val="0"/>
        </w:rPr>
        <w:t xml:space="preserve">Policy 825 - College Branding</w:t>
      </w:r>
    </w:p>
    <w:p w:rsidR="00000000" w:rsidDel="00000000" w:rsidP="00000000" w:rsidRDefault="00000000" w:rsidRPr="00000000" w14:paraId="00000016">
      <w:pPr>
        <w:numPr>
          <w:ilvl w:val="2"/>
          <w:numId w:val="1"/>
        </w:numPr>
        <w:spacing w:after="240" w:before="240" w:lineRule="auto"/>
        <w:ind w:left="2520" w:hanging="180"/>
      </w:pPr>
      <w:r w:rsidDel="00000000" w:rsidR="00000000" w:rsidRPr="00000000">
        <w:rPr>
          <w:rtl w:val="0"/>
        </w:rPr>
        <w:t xml:space="preserve">The council discussed the implications of this policy, including potential disciplinary actions, up to and including termination, for non-compliance. Michal Ann Ure requested clarification regarding redistribution guidelines, while Caite Graham inquired about expectations related to the new mascot.</w:t>
      </w:r>
    </w:p>
    <w:p w:rsidR="00000000" w:rsidDel="00000000" w:rsidP="00000000" w:rsidRDefault="00000000" w:rsidRPr="00000000" w14:paraId="00000017">
      <w:pPr>
        <w:numPr>
          <w:ilvl w:val="2"/>
          <w:numId w:val="1"/>
        </w:numPr>
        <w:ind w:left="2520" w:hanging="180"/>
        <w:rPr>
          <w:u w:val="none"/>
        </w:rPr>
      </w:pPr>
      <w:r w:rsidDel="00000000" w:rsidR="00000000" w:rsidRPr="00000000">
        <w:rPr>
          <w:rtl w:val="0"/>
        </w:rPr>
        <w:t xml:space="preserve">This policy has been approved to move forward in the process. Catie moved, Amber Seconded. </w:t>
      </w:r>
    </w:p>
    <w:p w:rsidR="00000000" w:rsidDel="00000000" w:rsidP="00000000" w:rsidRDefault="00000000" w:rsidRPr="00000000" w14:paraId="00000018">
      <w:pPr>
        <w:numPr>
          <w:ilvl w:val="1"/>
          <w:numId w:val="1"/>
        </w:numPr>
        <w:ind w:left="1800" w:hanging="360"/>
        <w:rPr>
          <w:b w:val="1"/>
        </w:rPr>
      </w:pPr>
      <w:r w:rsidDel="00000000" w:rsidR="00000000" w:rsidRPr="00000000">
        <w:rPr>
          <w:b w:val="1"/>
          <w:rtl w:val="0"/>
        </w:rPr>
        <w:t xml:space="preserve">Policy 227 - Employment of or Teaching Family/Household Members</w:t>
      </w:r>
    </w:p>
    <w:p w:rsidR="00000000" w:rsidDel="00000000" w:rsidP="00000000" w:rsidRDefault="00000000" w:rsidRPr="00000000" w14:paraId="00000019">
      <w:pPr>
        <w:numPr>
          <w:ilvl w:val="2"/>
          <w:numId w:val="1"/>
        </w:numPr>
        <w:ind w:left="2520" w:hanging="180"/>
        <w:rPr>
          <w:b w:val="1"/>
        </w:rPr>
      </w:pPr>
      <w:r w:rsidDel="00000000" w:rsidR="00000000" w:rsidRPr="00000000">
        <w:rPr>
          <w:b w:val="1"/>
          <w:rtl w:val="0"/>
        </w:rPr>
        <w:t xml:space="preserve">Procedure 227.1A - Employment of or Teaching Family/Household Members</w:t>
      </w:r>
    </w:p>
    <w:p w:rsidR="00000000" w:rsidDel="00000000" w:rsidP="00000000" w:rsidRDefault="00000000" w:rsidRPr="00000000" w14:paraId="0000001A">
      <w:pPr>
        <w:numPr>
          <w:ilvl w:val="2"/>
          <w:numId w:val="1"/>
        </w:numPr>
        <w:ind w:left="2520" w:hanging="180"/>
        <w:rPr/>
      </w:pPr>
      <w:r w:rsidDel="00000000" w:rsidR="00000000" w:rsidRPr="00000000">
        <w:rPr>
          <w:rtl w:val="0"/>
        </w:rPr>
        <w:t xml:space="preserve">Updates to this policy and procedure reflect recent on-campus situations to prevent potential ethics violations.</w:t>
      </w:r>
    </w:p>
    <w:p w:rsidR="00000000" w:rsidDel="00000000" w:rsidP="00000000" w:rsidRDefault="00000000" w:rsidRPr="00000000" w14:paraId="0000001B">
      <w:pPr>
        <w:numPr>
          <w:ilvl w:val="2"/>
          <w:numId w:val="1"/>
        </w:numPr>
        <w:ind w:left="2520" w:hanging="180"/>
        <w:rPr>
          <w:u w:val="none"/>
        </w:rPr>
      </w:pPr>
      <w:r w:rsidDel="00000000" w:rsidR="00000000" w:rsidRPr="00000000">
        <w:rPr>
          <w:rtl w:val="0"/>
        </w:rPr>
        <w:t xml:space="preserve">This policy has been approved to move through the process. Motioned by Amber Lemiere, seconded by Michal Ann Ure .</w:t>
      </w:r>
    </w:p>
    <w:p w:rsidR="00000000" w:rsidDel="00000000" w:rsidP="00000000" w:rsidRDefault="00000000" w:rsidRPr="00000000" w14:paraId="0000001C">
      <w:pPr>
        <w:numPr>
          <w:ilvl w:val="1"/>
          <w:numId w:val="1"/>
        </w:numPr>
        <w:ind w:left="1800" w:hanging="360"/>
        <w:rPr>
          <w:b w:val="1"/>
        </w:rPr>
      </w:pPr>
      <w:r w:rsidDel="00000000" w:rsidR="00000000" w:rsidRPr="00000000">
        <w:rPr>
          <w:b w:val="1"/>
          <w:rtl w:val="0"/>
        </w:rPr>
        <w:t xml:space="preserve">Procedure 245.1A - Return to Work </w:t>
      </w:r>
    </w:p>
    <w:p w:rsidR="00000000" w:rsidDel="00000000" w:rsidP="00000000" w:rsidRDefault="00000000" w:rsidRPr="00000000" w14:paraId="0000001D">
      <w:pPr>
        <w:numPr>
          <w:ilvl w:val="2"/>
          <w:numId w:val="1"/>
        </w:numPr>
        <w:ind w:left="2520" w:hanging="180"/>
        <w:rPr/>
      </w:pPr>
      <w:r w:rsidDel="00000000" w:rsidR="00000000" w:rsidRPr="00000000">
        <w:rPr>
          <w:rtl w:val="0"/>
        </w:rPr>
        <w:t xml:space="preserve">This procedure has been approved to move through the process. </w:t>
      </w:r>
    </w:p>
    <w:p w:rsidR="00000000" w:rsidDel="00000000" w:rsidP="00000000" w:rsidRDefault="00000000" w:rsidRPr="00000000" w14:paraId="0000001E">
      <w:pPr>
        <w:numPr>
          <w:ilvl w:val="2"/>
          <w:numId w:val="1"/>
        </w:numPr>
        <w:ind w:left="2520" w:hanging="180"/>
      </w:pPr>
      <w:r w:rsidDel="00000000" w:rsidR="00000000" w:rsidRPr="00000000">
        <w:rPr>
          <w:rtl w:val="0"/>
        </w:rPr>
        <w:t xml:space="preserve">Motioned by Amber Lemiere, seconded by Dana Cummings</w:t>
      </w:r>
    </w:p>
    <w:p w:rsidR="00000000" w:rsidDel="00000000" w:rsidP="00000000" w:rsidRDefault="00000000" w:rsidRPr="00000000" w14:paraId="0000001F">
      <w:pPr>
        <w:ind w:left="0" w:firstLine="0"/>
        <w:rPr/>
      </w:pPr>
      <w:r w:rsidDel="00000000" w:rsidR="00000000" w:rsidRPr="00000000">
        <w:rPr>
          <w:rtl w:val="0"/>
        </w:rPr>
      </w:r>
    </w:p>
    <w:p w:rsidR="00000000" w:rsidDel="00000000" w:rsidP="00000000" w:rsidRDefault="00000000" w:rsidRPr="00000000" w14:paraId="00000020">
      <w:pPr>
        <w:numPr>
          <w:ilvl w:val="0"/>
          <w:numId w:val="1"/>
        </w:numPr>
        <w:ind w:left="1440" w:hanging="720"/>
        <w:rPr>
          <w:b w:val="1"/>
        </w:rPr>
      </w:pPr>
      <w:r w:rsidDel="00000000" w:rsidR="00000000" w:rsidRPr="00000000">
        <w:rPr>
          <w:b w:val="1"/>
          <w:rtl w:val="0"/>
        </w:rPr>
        <w:t xml:space="preserve">Follow-Up: Advising &amp; Coordinated Care Workshop</w:t>
      </w:r>
      <w:r w:rsidDel="00000000" w:rsidR="00000000" w:rsidRPr="00000000">
        <w:rPr>
          <w:rtl w:val="0"/>
        </w:rPr>
      </w:r>
    </w:p>
    <w:p w:rsidR="00000000" w:rsidDel="00000000" w:rsidP="00000000" w:rsidRDefault="00000000" w:rsidRPr="00000000" w14:paraId="00000021">
      <w:pPr>
        <w:numPr>
          <w:ilvl w:val="1"/>
          <w:numId w:val="1"/>
        </w:numPr>
        <w:ind w:left="1800" w:hanging="360"/>
        <w:rPr>
          <w:b w:val="1"/>
        </w:rPr>
      </w:pPr>
      <w:r w:rsidDel="00000000" w:rsidR="00000000" w:rsidRPr="00000000">
        <w:rPr>
          <w:rtl w:val="0"/>
        </w:rPr>
        <w:t xml:space="preserve">No follow-up at this time. </w:t>
      </w:r>
      <w:r w:rsidDel="00000000" w:rsidR="00000000" w:rsidRPr="00000000">
        <w:rPr>
          <w:rtl w:val="0"/>
        </w:rPr>
      </w:r>
    </w:p>
    <w:p w:rsidR="00000000" w:rsidDel="00000000" w:rsidP="00000000" w:rsidRDefault="00000000" w:rsidRPr="00000000" w14:paraId="00000022">
      <w:pPr>
        <w:pStyle w:val="Heading2"/>
        <w:ind w:firstLine="720"/>
        <w:rPr/>
      </w:pPr>
      <w:r w:rsidDel="00000000" w:rsidR="00000000" w:rsidRPr="00000000">
        <w:rPr>
          <w:rtl w:val="0"/>
        </w:rPr>
      </w:r>
    </w:p>
    <w:p w:rsidR="00000000" w:rsidDel="00000000" w:rsidP="00000000" w:rsidRDefault="00000000" w:rsidRPr="00000000" w14:paraId="00000023">
      <w:pPr>
        <w:pStyle w:val="Heading2"/>
        <w:ind w:firstLine="720"/>
        <w:rPr/>
      </w:pPr>
      <w:r w:rsidDel="00000000" w:rsidR="00000000" w:rsidRPr="00000000">
        <w:rPr>
          <w:rtl w:val="0"/>
        </w:rPr>
        <w:t xml:space="preserve">With no further comments, the meeting was adjourned at 4:06PM. </w:t>
      </w:r>
    </w:p>
    <w:p w:rsidR="00000000" w:rsidDel="00000000" w:rsidP="00000000" w:rsidRDefault="00000000" w:rsidRPr="00000000" w14:paraId="00000024">
      <w:pPr>
        <w:ind w:left="0" w:firstLine="0"/>
        <w:rPr/>
      </w:pPr>
      <w:r w:rsidDel="00000000" w:rsidR="00000000" w:rsidRPr="00000000">
        <w:rPr>
          <w:rtl w:val="0"/>
        </w:rPr>
      </w:r>
    </w:p>
    <w:sectPr>
      <w:headerReference r:id="rId7" w:type="first"/>
      <w:footerReference r:id="rId8" w:type="default"/>
      <w:footerReference r:id="rId9" w:type="first"/>
      <w:pgSz w:h="15840" w:w="12240" w:orient="portrait"/>
      <w:pgMar w:bottom="720" w:top="72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t xml:space="preserve">HP</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/PRES.OFC/</w:t>
    </w:r>
    <w:r w:rsidDel="00000000" w:rsidR="00000000" w:rsidRPr="00000000">
      <w:rPr>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t xml:space="preserve">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w:t>
    </w:r>
    <w:r w:rsidDel="00000000" w:rsidR="00000000" w:rsidRPr="00000000">
      <w:rPr>
        <w:rtl w:val="0"/>
      </w:rPr>
      <w:t xml:space="preserve">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/MS ACCESSIBILITY CHECKER</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4320"/>
        <w:tab w:val="center" w:leader="none" w:pos="477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PresOfc/MSAccessibility Checker</w:t>
      <w:tab/>
      <w:t xml:space="preserve">Gov. Cncl. Minutes </w:t>
    </w:r>
    <w:r w:rsidDel="00000000" w:rsidR="00000000" w:rsidRPr="00000000">
      <w:rPr>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t xml:space="preserve">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w:t>
    </w:r>
    <w:r w:rsidDel="00000000" w:rsidR="00000000" w:rsidRPr="00000000">
      <w:rPr>
        <w:rtl w:val="0"/>
      </w:rPr>
      <w:t xml:space="preserve">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Lower Columbia College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720"/>
      </w:pPr>
      <w:rPr>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ind w:left="72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color w:val="0000cc"/>
      <w:sz w:val="36"/>
      <w:szCs w:val="36"/>
    </w:rPr>
  </w:style>
  <w:style w:type="paragraph" w:styleId="Heading2">
    <w:name w:val="heading 2"/>
    <w:basedOn w:val="Normal"/>
    <w:next w:val="Normal"/>
    <w:pPr>
      <w:keepNext w:val="1"/>
    </w:pPr>
    <w:rPr/>
  </w:style>
  <w:style w:type="paragraph" w:styleId="Heading3">
    <w:name w:val="heading 3"/>
    <w:basedOn w:val="Normal"/>
    <w:next w:val="Normal"/>
    <w:pPr>
      <w:keepNext w:val="1"/>
      <w:keepLines w:val="1"/>
      <w:spacing w:before="40" w:lineRule="auto"/>
    </w:pPr>
    <w:rPr>
      <w:rFonts w:ascii="Calibri" w:cs="Calibri" w:eastAsia="Calibri" w:hAnsi="Calibri"/>
      <w:b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17245"/>
    <w:pPr>
      <w:spacing w:after="0" w:line="240" w:lineRule="auto"/>
      <w:ind w:left="720"/>
    </w:pPr>
    <w:rPr>
      <w:rFonts w:cs="Times New Roman"/>
      <w:color w:val="000000"/>
      <w:kern w:val="28"/>
      <w:sz w:val="24"/>
      <w:szCs w:val="20"/>
    </w:rPr>
  </w:style>
  <w:style w:type="paragraph" w:styleId="Heading1">
    <w:name w:val="heading 1"/>
    <w:basedOn w:val="Normal"/>
    <w:next w:val="Normal"/>
    <w:link w:val="Heading1Char"/>
    <w:autoRedefine w:val="1"/>
    <w:qFormat w:val="1"/>
    <w:rsid w:val="00B60004"/>
    <w:pPr>
      <w:keepNext w:val="1"/>
      <w:outlineLvl w:val="0"/>
    </w:pPr>
    <w:rPr>
      <w:b w:val="1"/>
      <w:bCs w:val="1"/>
      <w:color w:val="0000cc"/>
      <w:spacing w:val="40"/>
      <w:kern w:val="0"/>
      <w:sz w:val="36"/>
      <w:szCs w:val="36"/>
    </w:rPr>
  </w:style>
  <w:style w:type="paragraph" w:styleId="Heading2">
    <w:name w:val="heading 2"/>
    <w:basedOn w:val="Normal"/>
    <w:next w:val="Normal"/>
    <w:link w:val="Heading2Char"/>
    <w:autoRedefine w:val="1"/>
    <w:qFormat w:val="1"/>
    <w:rsid w:val="00B835C1"/>
    <w:pPr>
      <w:keepNext w:val="1"/>
      <w:outlineLvl w:val="1"/>
    </w:pPr>
    <w:rPr>
      <w:rFonts w:cstheme="minorHAnsi"/>
      <w:bCs w:val="1"/>
      <w:iCs w:val="1"/>
      <w:szCs w:val="28"/>
    </w:rPr>
  </w:style>
  <w:style w:type="paragraph" w:styleId="Heading3">
    <w:name w:val="heading 3"/>
    <w:basedOn w:val="Normal"/>
    <w:next w:val="Normal"/>
    <w:link w:val="Heading3Char"/>
    <w:uiPriority w:val="9"/>
    <w:unhideWhenUsed w:val="1"/>
    <w:qFormat w:val="1"/>
    <w:rsid w:val="000326D2"/>
    <w:pPr>
      <w:keepNext w:val="1"/>
      <w:keepLines w:val="1"/>
      <w:spacing w:before="40"/>
      <w:outlineLvl w:val="2"/>
    </w:pPr>
    <w:rPr>
      <w:rFonts w:asciiTheme="majorHAnsi" w:cstheme="majorBidi" w:eastAsiaTheme="majorEastAsia" w:hAnsiTheme="majorHAnsi"/>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B60004"/>
    <w:rPr>
      <w:rFonts w:cs="Times New Roman"/>
      <w:b w:val="1"/>
      <w:bCs w:val="1"/>
      <w:color w:val="0000cc"/>
      <w:spacing w:val="40"/>
      <w:sz w:val="36"/>
      <w:szCs w:val="36"/>
    </w:rPr>
  </w:style>
  <w:style w:type="paragraph" w:styleId="NoSpacing">
    <w:name w:val="No Spacing"/>
    <w:autoRedefine w:val="1"/>
    <w:uiPriority w:val="1"/>
    <w:qFormat w:val="1"/>
    <w:rsid w:val="00F604DF"/>
    <w:pPr>
      <w:spacing w:after="0" w:line="240" w:lineRule="auto"/>
    </w:pPr>
    <w:rPr>
      <w:rFonts w:ascii="Calibri" w:cs="Times New Roman" w:hAnsi="Calibri"/>
      <w:color w:val="000000"/>
      <w:kern w:val="28"/>
      <w:szCs w:val="20"/>
    </w:rPr>
  </w:style>
  <w:style w:type="character" w:styleId="Strong">
    <w:name w:val="Strong"/>
    <w:basedOn w:val="DefaultParagraphFont"/>
    <w:uiPriority w:val="22"/>
    <w:qFormat w:val="1"/>
    <w:rsid w:val="005A618F"/>
    <w:rPr>
      <w:rFonts w:ascii="Calibri" w:hAnsi="Calibri"/>
      <w:b w:val="1"/>
      <w:bCs w:val="1"/>
      <w:i w:val="0"/>
      <w:sz w:val="24"/>
    </w:rPr>
  </w:style>
  <w:style w:type="character" w:styleId="Heading2Char" w:customStyle="1">
    <w:name w:val="Heading 2 Char"/>
    <w:basedOn w:val="DefaultParagraphFont"/>
    <w:link w:val="Heading2"/>
    <w:rsid w:val="00B835C1"/>
    <w:rPr>
      <w:rFonts w:cstheme="minorHAnsi"/>
      <w:bCs w:val="1"/>
      <w:iCs w:val="1"/>
      <w:color w:val="000000"/>
      <w:kern w:val="28"/>
      <w:sz w:val="24"/>
      <w:szCs w:val="28"/>
    </w:rPr>
  </w:style>
  <w:style w:type="character" w:styleId="Heading3Char" w:customStyle="1">
    <w:name w:val="Heading 3 Char"/>
    <w:basedOn w:val="DefaultParagraphFont"/>
    <w:link w:val="Heading3"/>
    <w:uiPriority w:val="9"/>
    <w:rsid w:val="000326D2"/>
    <w:rPr>
      <w:rFonts w:asciiTheme="majorHAnsi" w:cstheme="majorBidi" w:eastAsiaTheme="majorEastAsia" w:hAnsiTheme="majorHAnsi"/>
      <w:b w:val="1"/>
      <w:sz w:val="24"/>
      <w:szCs w:val="24"/>
    </w:rPr>
  </w:style>
  <w:style w:type="paragraph" w:styleId="Subtitle">
    <w:name w:val="Subtitle"/>
    <w:basedOn w:val="Normal"/>
    <w:link w:val="SubtitleChar"/>
    <w:qFormat w:val="1"/>
    <w:rsid w:val="00EB5D01"/>
    <w:pPr>
      <w:jc w:val="center"/>
    </w:pPr>
    <w:rPr>
      <w:b w:val="1"/>
    </w:rPr>
  </w:style>
  <w:style w:type="character" w:styleId="SubtitleChar" w:customStyle="1">
    <w:name w:val="Subtitle Char"/>
    <w:basedOn w:val="DefaultParagraphFont"/>
    <w:link w:val="Subtitle"/>
    <w:rsid w:val="00EB5D01"/>
    <w:rPr>
      <w:rFonts w:cs="Times New Roman"/>
      <w:b w:val="1"/>
      <w:sz w:val="24"/>
      <w:szCs w:val="20"/>
    </w:rPr>
  </w:style>
  <w:style w:type="paragraph" w:styleId="Header">
    <w:name w:val="header"/>
    <w:basedOn w:val="Normal"/>
    <w:link w:val="HeaderChar"/>
    <w:uiPriority w:val="99"/>
    <w:unhideWhenUsed w:val="1"/>
    <w:rsid w:val="006A2081"/>
    <w:pPr>
      <w:tabs>
        <w:tab w:val="center" w:pos="4680"/>
        <w:tab w:val="right" w:pos="9360"/>
      </w:tabs>
    </w:pPr>
  </w:style>
  <w:style w:type="character" w:styleId="HeaderChar" w:customStyle="1">
    <w:name w:val="Header Char"/>
    <w:basedOn w:val="DefaultParagraphFont"/>
    <w:link w:val="Header"/>
    <w:uiPriority w:val="99"/>
    <w:rsid w:val="006A2081"/>
    <w:rPr>
      <w:rFonts w:cs="Times New Roman"/>
      <w:color w:val="000000"/>
      <w:kern w:val="28"/>
      <w:sz w:val="24"/>
      <w:szCs w:val="20"/>
    </w:rPr>
  </w:style>
  <w:style w:type="paragraph" w:styleId="Footer">
    <w:name w:val="footer"/>
    <w:basedOn w:val="Normal"/>
    <w:link w:val="FooterChar"/>
    <w:uiPriority w:val="99"/>
    <w:unhideWhenUsed w:val="1"/>
    <w:rsid w:val="006A2081"/>
    <w:pPr>
      <w:tabs>
        <w:tab w:val="center" w:pos="4680"/>
        <w:tab w:val="right" w:pos="9360"/>
      </w:tabs>
    </w:pPr>
  </w:style>
  <w:style w:type="character" w:styleId="FooterChar" w:customStyle="1">
    <w:name w:val="Footer Char"/>
    <w:basedOn w:val="DefaultParagraphFont"/>
    <w:link w:val="Footer"/>
    <w:uiPriority w:val="99"/>
    <w:rsid w:val="006A2081"/>
    <w:rPr>
      <w:rFonts w:cs="Times New Roman"/>
      <w:color w:val="000000"/>
      <w:kern w:val="28"/>
      <w:sz w:val="24"/>
      <w:szCs w:val="20"/>
    </w:rPr>
  </w:style>
  <w:style w:type="paragraph" w:styleId="ListParagraph">
    <w:name w:val="List Paragraph"/>
    <w:basedOn w:val="Normal"/>
    <w:uiPriority w:val="34"/>
    <w:qFormat w:val="1"/>
    <w:rsid w:val="004A6616"/>
    <w:pPr>
      <w:spacing w:after="160" w:line="259" w:lineRule="auto"/>
      <w:contextualSpacing w:val="1"/>
    </w:pPr>
    <w:rPr>
      <w:rFonts w:cstheme="minorBidi" w:eastAsiaTheme="minorHAnsi"/>
      <w:color w:val="auto"/>
      <w:kern w:val="0"/>
      <w:sz w:val="22"/>
      <w:szCs w:val="22"/>
    </w:rPr>
  </w:style>
  <w:style w:type="paragraph" w:styleId="PlainText">
    <w:name w:val="Plain Text"/>
    <w:basedOn w:val="Normal"/>
    <w:link w:val="PlainTextChar"/>
    <w:uiPriority w:val="99"/>
    <w:unhideWhenUsed w:val="1"/>
    <w:rsid w:val="00605500"/>
    <w:rPr>
      <w:rFonts w:ascii="Calibri" w:hAnsi="Calibri"/>
      <w:color w:val="auto"/>
      <w:kern w:val="0"/>
      <w:sz w:val="22"/>
      <w:szCs w:val="21"/>
    </w:rPr>
  </w:style>
  <w:style w:type="character" w:styleId="PlainTextChar" w:customStyle="1">
    <w:name w:val="Plain Text Char"/>
    <w:basedOn w:val="DefaultParagraphFont"/>
    <w:link w:val="PlainText"/>
    <w:uiPriority w:val="99"/>
    <w:rsid w:val="00605500"/>
    <w:rPr>
      <w:rFonts w:ascii="Calibri" w:cs="Times New Roman" w:hAnsi="Calibri"/>
      <w:szCs w:val="21"/>
    </w:rPr>
  </w:style>
  <w:style w:type="paragraph" w:styleId="BalloonText">
    <w:name w:val="Balloon Text"/>
    <w:basedOn w:val="Normal"/>
    <w:link w:val="BalloonTextChar"/>
    <w:uiPriority w:val="99"/>
    <w:semiHidden w:val="1"/>
    <w:unhideWhenUsed w:val="1"/>
    <w:rsid w:val="00F55A1C"/>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55A1C"/>
    <w:rPr>
      <w:rFonts w:ascii="Segoe UI" w:cs="Segoe UI" w:hAnsi="Segoe UI"/>
      <w:color w:val="000000"/>
      <w:kern w:val="28"/>
      <w:sz w:val="18"/>
      <w:szCs w:val="18"/>
    </w:rPr>
  </w:style>
  <w:style w:type="paragraph" w:styleId="Subtitle">
    <w:name w:val="Subtitle"/>
    <w:basedOn w:val="Normal"/>
    <w:next w:val="Normal"/>
    <w:pPr>
      <w:jc w:val="center"/>
    </w:pPr>
    <w:rPr>
      <w:b w:val="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BKvyrEuoMgN0fwF/s6BNcZL9Zw==">CgMxLjAyCGguZ2pkZ3hzOAByITFHZ0ZyM3Vuc3JzOFdValREdV83VU1HUk1nei1zdlVFMA==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2024-06-05T22:14:00Z</dcterms:created>
  <dc:creator>Clark, Linda</dc:creator>
</cp:coreProperties>
</file>