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FB" w:rsidRDefault="002B1EF7">
      <w:pPr>
        <w:pStyle w:val="Heading2"/>
        <w:numPr>
          <w:ilvl w:val="0"/>
          <w:numId w:val="9"/>
        </w:numPr>
      </w:pPr>
      <w:bookmarkStart w:id="0" w:name="_gjdgxs" w:colFirst="0" w:colLast="0"/>
      <w:bookmarkStart w:id="1" w:name="_GoBack"/>
      <w:bookmarkEnd w:id="0"/>
      <w:bookmarkEnd w:id="1"/>
      <w:r>
        <w:t>OFFICIAL NAME</w:t>
      </w:r>
    </w:p>
    <w:p w:rsidR="007F5FFB" w:rsidRDefault="002B1EF7">
      <w:pPr>
        <w:ind w:left="1080"/>
      </w:pPr>
      <w:r>
        <w:t>The work group shall be known as the Accessible Technology Work Group (ATW)</w:t>
      </w:r>
    </w:p>
    <w:p w:rsidR="007F5FFB" w:rsidRDefault="007F5FFB"/>
    <w:p w:rsidR="007F5FFB" w:rsidRDefault="002B1EF7">
      <w:pPr>
        <w:pStyle w:val="Heading2"/>
        <w:numPr>
          <w:ilvl w:val="0"/>
          <w:numId w:val="9"/>
        </w:numPr>
      </w:pPr>
      <w:r>
        <w:t>MISSION and PURPOSE</w:t>
      </w:r>
    </w:p>
    <w:p w:rsidR="007F5FFB" w:rsidRDefault="002B1EF7">
      <w:pPr>
        <w:numPr>
          <w:ilvl w:val="0"/>
          <w:numId w:val="7"/>
        </w:numPr>
        <w:contextualSpacing/>
      </w:pPr>
      <w:r>
        <w:t xml:space="preserve">The mission of the ATW is to ensure Lower Columbia College’s (LCC) efforts to implement a sustainable </w:t>
      </w:r>
      <w:r>
        <w:t>A</w:t>
      </w:r>
      <w:r>
        <w:t>ccessib</w:t>
      </w:r>
      <w:r>
        <w:t>le Technology</w:t>
      </w:r>
      <w:r>
        <w:t xml:space="preserve"> </w:t>
      </w:r>
      <w:r>
        <w:t>Pl</w:t>
      </w:r>
      <w:r>
        <w:t>an are successful.</w:t>
      </w:r>
    </w:p>
    <w:p w:rsidR="007F5FFB" w:rsidRDefault="002B1EF7">
      <w:pPr>
        <w:numPr>
          <w:ilvl w:val="0"/>
          <w:numId w:val="7"/>
        </w:numPr>
        <w:contextualSpacing/>
      </w:pPr>
      <w:r>
        <w:t>The purpose of the ATW is to:</w:t>
      </w:r>
    </w:p>
    <w:p w:rsidR="007F5FFB" w:rsidRDefault="002B1EF7">
      <w:pPr>
        <w:numPr>
          <w:ilvl w:val="0"/>
          <w:numId w:val="8"/>
        </w:numPr>
        <w:contextualSpacing/>
      </w:pPr>
      <w:r>
        <w:t>develop, implement, review and update a sustainable campus-wide Accessib</w:t>
      </w:r>
      <w:r>
        <w:t>le Technology</w:t>
      </w:r>
      <w:r>
        <w:t xml:space="preserve"> Plan, </w:t>
      </w:r>
    </w:p>
    <w:p w:rsidR="007F5FFB" w:rsidRDefault="002B1EF7">
      <w:pPr>
        <w:numPr>
          <w:ilvl w:val="0"/>
          <w:numId w:val="8"/>
        </w:numPr>
        <w:contextualSpacing/>
      </w:pPr>
      <w:r>
        <w:t>ensure the Accessib</w:t>
      </w:r>
      <w:r>
        <w:t>le Technology</w:t>
      </w:r>
      <w:r>
        <w:t xml:space="preserve"> Plan aligns with the college’s core values, strategic plan, initiatives and priorities as well as F</w:t>
      </w:r>
      <w:r>
        <w:t xml:space="preserve">ederal and State laws and policies, </w:t>
      </w:r>
    </w:p>
    <w:p w:rsidR="007F5FFB" w:rsidRDefault="002B1EF7">
      <w:pPr>
        <w:numPr>
          <w:ilvl w:val="0"/>
          <w:numId w:val="8"/>
        </w:numPr>
        <w:contextualSpacing/>
      </w:pPr>
      <w:r>
        <w:t>communicate the college’s accessibl</w:t>
      </w:r>
      <w:r>
        <w:t>e technology</w:t>
      </w:r>
      <w:r>
        <w:t xml:space="preserve"> goals, strategies and plan to members of the campus community, </w:t>
      </w:r>
    </w:p>
    <w:p w:rsidR="007F5FFB" w:rsidRDefault="002B1EF7">
      <w:pPr>
        <w:numPr>
          <w:ilvl w:val="0"/>
          <w:numId w:val="8"/>
        </w:numPr>
        <w:contextualSpacing/>
      </w:pPr>
      <w:r>
        <w:t>track progress towards implementing the Accessib</w:t>
      </w:r>
      <w:r>
        <w:t>le Technology</w:t>
      </w:r>
      <w:r>
        <w:t xml:space="preserve"> Plan, </w:t>
      </w:r>
    </w:p>
    <w:p w:rsidR="007F5FFB" w:rsidRDefault="002B1EF7">
      <w:pPr>
        <w:numPr>
          <w:ilvl w:val="0"/>
          <w:numId w:val="8"/>
        </w:numPr>
        <w:contextualSpacing/>
      </w:pPr>
      <w:r>
        <w:t xml:space="preserve">solicit and review feedback regarding </w:t>
      </w:r>
      <w:r>
        <w:t>the Accessibl</w:t>
      </w:r>
      <w:r>
        <w:t>e Technology</w:t>
      </w:r>
      <w:r>
        <w:t xml:space="preserve"> Plan and its implementation, </w:t>
      </w:r>
    </w:p>
    <w:p w:rsidR="007F5FFB" w:rsidRDefault="002B1EF7">
      <w:pPr>
        <w:numPr>
          <w:ilvl w:val="0"/>
          <w:numId w:val="8"/>
        </w:numPr>
        <w:contextualSpacing/>
      </w:pPr>
      <w:proofErr w:type="gramStart"/>
      <w:r>
        <w:t>promote</w:t>
      </w:r>
      <w:proofErr w:type="gramEnd"/>
      <w:r>
        <w:t xml:space="preserve"> campus-wide use of </w:t>
      </w:r>
      <w:r>
        <w:t>accessible</w:t>
      </w:r>
      <w:r>
        <w:t xml:space="preserve"> technology.</w:t>
      </w:r>
    </w:p>
    <w:p w:rsidR="007F5FFB" w:rsidRDefault="007F5FFB">
      <w:pPr>
        <w:ind w:left="720"/>
      </w:pPr>
    </w:p>
    <w:p w:rsidR="007F5FFB" w:rsidRDefault="002B1EF7">
      <w:pPr>
        <w:pStyle w:val="Heading2"/>
        <w:numPr>
          <w:ilvl w:val="0"/>
          <w:numId w:val="9"/>
        </w:numPr>
      </w:pPr>
      <w:r>
        <w:t>GOVERNANCE</w:t>
      </w:r>
    </w:p>
    <w:p w:rsidR="007F5FFB" w:rsidRDefault="002B1EF7">
      <w:pPr>
        <w:ind w:left="1080"/>
      </w:pPr>
      <w:r>
        <w:t>The President’s Executive Leadership Team shall provide governance for the ATW.</w:t>
      </w:r>
    </w:p>
    <w:p w:rsidR="007F5FFB" w:rsidRDefault="007F5FFB">
      <w:pPr>
        <w:ind w:left="720"/>
      </w:pPr>
    </w:p>
    <w:p w:rsidR="007F5FFB" w:rsidRDefault="002B1EF7">
      <w:pPr>
        <w:pStyle w:val="Heading2"/>
        <w:numPr>
          <w:ilvl w:val="0"/>
          <w:numId w:val="9"/>
        </w:numPr>
      </w:pPr>
      <w:r>
        <w:t>AUTHORITY</w:t>
      </w:r>
    </w:p>
    <w:p w:rsidR="007F5FFB" w:rsidRDefault="002B1EF7">
      <w:pPr>
        <w:ind w:left="1080"/>
      </w:pPr>
      <w:r>
        <w:t>The ATW shall report to the Vice President of S</w:t>
      </w:r>
      <w:r>
        <w:t>tudent Services.</w:t>
      </w:r>
    </w:p>
    <w:p w:rsidR="007F5FFB" w:rsidRDefault="007F5FFB">
      <w:pPr>
        <w:ind w:left="720"/>
      </w:pPr>
    </w:p>
    <w:p w:rsidR="007F5FFB" w:rsidRDefault="002B1EF7">
      <w:pPr>
        <w:pStyle w:val="Heading2"/>
        <w:numPr>
          <w:ilvl w:val="0"/>
          <w:numId w:val="9"/>
        </w:numPr>
      </w:pPr>
      <w:r>
        <w:t>SUB-COMMITTEES</w:t>
      </w:r>
    </w:p>
    <w:p w:rsidR="007F5FFB" w:rsidRDefault="002B1EF7">
      <w:pPr>
        <w:ind w:left="1080"/>
      </w:pPr>
      <w:r>
        <w:t>The ATW Chair shall establish subcommittees as necessary to achieve the mission and purpose of the ATW.</w:t>
      </w:r>
    </w:p>
    <w:p w:rsidR="007F5FFB" w:rsidRDefault="007F5FFB">
      <w:pPr>
        <w:ind w:left="720"/>
      </w:pPr>
    </w:p>
    <w:p w:rsidR="007F5FFB" w:rsidRDefault="002B1EF7">
      <w:pPr>
        <w:pStyle w:val="Heading2"/>
        <w:numPr>
          <w:ilvl w:val="0"/>
          <w:numId w:val="9"/>
        </w:numPr>
      </w:pPr>
      <w:r>
        <w:t>MEMBERSHIP and LEADERSHIP</w:t>
      </w:r>
    </w:p>
    <w:p w:rsidR="007F5FFB" w:rsidRDefault="002B1EF7">
      <w:pPr>
        <w:numPr>
          <w:ilvl w:val="0"/>
          <w:numId w:val="2"/>
        </w:numPr>
        <w:contextualSpacing/>
      </w:pPr>
      <w:r>
        <w:t>Membership</w:t>
      </w:r>
    </w:p>
    <w:p w:rsidR="007F5FFB" w:rsidRDefault="002B1EF7">
      <w:pPr>
        <w:numPr>
          <w:ilvl w:val="0"/>
          <w:numId w:val="3"/>
        </w:numPr>
        <w:contextualSpacing/>
      </w:pPr>
      <w:r>
        <w:t>Work group membership shall include representatives from Effectiveness and College Relations, e-Learning, Instruction, IT Services and Student Services.</w:t>
      </w:r>
    </w:p>
    <w:p w:rsidR="007F5FFB" w:rsidRDefault="002B1EF7">
      <w:pPr>
        <w:numPr>
          <w:ilvl w:val="0"/>
          <w:numId w:val="3"/>
        </w:numPr>
        <w:contextualSpacing/>
      </w:pPr>
      <w:r>
        <w:t>College supervisors may nominate employees to serve as members.</w:t>
      </w:r>
    </w:p>
    <w:p w:rsidR="007F5FFB" w:rsidRDefault="002B1EF7">
      <w:pPr>
        <w:numPr>
          <w:ilvl w:val="0"/>
          <w:numId w:val="3"/>
        </w:numPr>
        <w:contextualSpacing/>
      </w:pPr>
      <w:r>
        <w:t xml:space="preserve">The Vice President of Student Services </w:t>
      </w:r>
      <w:r>
        <w:t>or designee shall approve members to serve on the work group.</w:t>
      </w:r>
    </w:p>
    <w:p w:rsidR="007F5FFB" w:rsidRDefault="002B1EF7">
      <w:pPr>
        <w:numPr>
          <w:ilvl w:val="0"/>
          <w:numId w:val="3"/>
        </w:numPr>
        <w:contextualSpacing/>
      </w:pPr>
      <w:r>
        <w:t>Members shall serve on the work group for one (1) academic year and may serve consecutive terms.</w:t>
      </w:r>
    </w:p>
    <w:p w:rsidR="007F5FFB" w:rsidRDefault="002B1EF7">
      <w:pPr>
        <w:numPr>
          <w:ilvl w:val="0"/>
          <w:numId w:val="2"/>
        </w:numPr>
        <w:contextualSpacing/>
      </w:pPr>
      <w:r>
        <w:t>Leadership</w:t>
      </w:r>
    </w:p>
    <w:p w:rsidR="007F5FFB" w:rsidRDefault="002B1EF7">
      <w:pPr>
        <w:ind w:left="1800"/>
      </w:pPr>
      <w:r>
        <w:t>The Vice President of Student Services or a designee shall lead the ATW, including set</w:t>
      </w:r>
      <w:r>
        <w:t xml:space="preserve"> meeting agendas, lead meetings, and delegate other work as necessary.</w:t>
      </w:r>
    </w:p>
    <w:p w:rsidR="007F5FFB" w:rsidRDefault="007F5FFB">
      <w:pPr>
        <w:ind w:left="720"/>
      </w:pPr>
    </w:p>
    <w:p w:rsidR="007F5FFB" w:rsidRDefault="002B1EF7">
      <w:pPr>
        <w:pStyle w:val="Heading2"/>
        <w:numPr>
          <w:ilvl w:val="0"/>
          <w:numId w:val="9"/>
        </w:numPr>
      </w:pPr>
      <w:r>
        <w:t>MEETINGS</w:t>
      </w:r>
    </w:p>
    <w:p w:rsidR="007F5FFB" w:rsidRDefault="002B1EF7">
      <w:pPr>
        <w:ind w:left="1080"/>
      </w:pPr>
      <w:r>
        <w:t>There shall be a minimum of three (3) meetings during each academic year.</w:t>
      </w:r>
    </w:p>
    <w:p w:rsidR="007F5FFB" w:rsidRDefault="007F5FFB">
      <w:pPr>
        <w:ind w:left="720"/>
      </w:pPr>
    </w:p>
    <w:p w:rsidR="007F5FFB" w:rsidRDefault="002B1EF7">
      <w:pPr>
        <w:pStyle w:val="Heading2"/>
        <w:numPr>
          <w:ilvl w:val="0"/>
          <w:numId w:val="9"/>
        </w:numPr>
      </w:pPr>
      <w:r>
        <w:lastRenderedPageBreak/>
        <w:t>OPERATING PROCEDURES</w:t>
      </w:r>
    </w:p>
    <w:p w:rsidR="007F5FFB" w:rsidRDefault="002B1EF7">
      <w:pPr>
        <w:numPr>
          <w:ilvl w:val="0"/>
          <w:numId w:val="4"/>
        </w:numPr>
        <w:contextualSpacing/>
      </w:pPr>
      <w:r>
        <w:t>Rules of Order - Robert's Rules of Order, Revised, shall be the authority on qu</w:t>
      </w:r>
      <w:r>
        <w:t>estions of parliamentary rule.</w:t>
      </w:r>
    </w:p>
    <w:p w:rsidR="007F5FFB" w:rsidRDefault="002B1EF7">
      <w:pPr>
        <w:numPr>
          <w:ilvl w:val="0"/>
          <w:numId w:val="4"/>
        </w:numPr>
        <w:contextualSpacing/>
      </w:pPr>
      <w:r>
        <w:t>Voting</w:t>
      </w:r>
    </w:p>
    <w:p w:rsidR="007F5FFB" w:rsidRDefault="002B1EF7">
      <w:pPr>
        <w:numPr>
          <w:ilvl w:val="0"/>
          <w:numId w:val="5"/>
        </w:numPr>
        <w:contextualSpacing/>
      </w:pPr>
      <w:r>
        <w:t>Each committee member shall have one (1) vote.</w:t>
      </w:r>
    </w:p>
    <w:p w:rsidR="007F5FFB" w:rsidRDefault="002B1EF7">
      <w:pPr>
        <w:numPr>
          <w:ilvl w:val="0"/>
          <w:numId w:val="5"/>
        </w:numPr>
        <w:contextualSpacing/>
      </w:pPr>
      <w:r>
        <w:t>Voting may be conducted either in person at a meeting or electronically.</w:t>
      </w:r>
    </w:p>
    <w:p w:rsidR="007F5FFB" w:rsidRDefault="002B1EF7">
      <w:pPr>
        <w:numPr>
          <w:ilvl w:val="0"/>
          <w:numId w:val="4"/>
        </w:numPr>
        <w:contextualSpacing/>
      </w:pPr>
      <w:r>
        <w:t>Quorum - A voting quorum shall consist of a majority of the members who voted prior to any establi</w:t>
      </w:r>
      <w:r>
        <w:t>shed deadlines.</w:t>
      </w:r>
    </w:p>
    <w:p w:rsidR="007F5FFB" w:rsidRDefault="007F5FFB">
      <w:pPr>
        <w:ind w:left="720"/>
      </w:pPr>
    </w:p>
    <w:p w:rsidR="007F5FFB" w:rsidRDefault="002B1EF7">
      <w:pPr>
        <w:pStyle w:val="Heading2"/>
        <w:numPr>
          <w:ilvl w:val="0"/>
          <w:numId w:val="9"/>
        </w:numPr>
      </w:pPr>
      <w:r>
        <w:t>RELEVANT ACCREDITATION STANDARDS, POLICIES, or PUBLICATIONS</w:t>
      </w:r>
    </w:p>
    <w:p w:rsidR="007F5FFB" w:rsidRDefault="002B1EF7">
      <w:pPr>
        <w:numPr>
          <w:ilvl w:val="0"/>
          <w:numId w:val="1"/>
        </w:numPr>
        <w:contextualSpacing/>
      </w:pPr>
      <w:hyperlink r:id="rId7">
        <w:r>
          <w:rPr>
            <w:color w:val="0563C1"/>
            <w:u w:val="single"/>
          </w:rPr>
          <w:t>LCC Accessib</w:t>
        </w:r>
      </w:hyperlink>
      <w:hyperlink r:id="rId8">
        <w:r>
          <w:rPr>
            <w:color w:val="0563C1"/>
            <w:u w:val="single"/>
          </w:rPr>
          <w:t>le</w:t>
        </w:r>
      </w:hyperlink>
      <w:hyperlink r:id="rId9">
        <w:r>
          <w:rPr>
            <w:color w:val="0563C1"/>
            <w:u w:val="single"/>
          </w:rPr>
          <w:t xml:space="preserve"> Technology Policy</w:t>
        </w:r>
        <w:r>
          <w:rPr>
            <w:color w:val="0563C1"/>
            <w:u w:val="single"/>
          </w:rPr>
          <w:t xml:space="preserve"> 720</w:t>
        </w:r>
      </w:hyperlink>
    </w:p>
    <w:p w:rsidR="007F5FFB" w:rsidRDefault="002B1EF7">
      <w:pPr>
        <w:numPr>
          <w:ilvl w:val="0"/>
          <w:numId w:val="1"/>
        </w:numPr>
        <w:contextualSpacing/>
      </w:pPr>
      <w:r>
        <w:t>LCC Accessib</w:t>
      </w:r>
      <w:r>
        <w:t xml:space="preserve">le Technology </w:t>
      </w:r>
      <w:r>
        <w:t>Plan</w:t>
      </w:r>
    </w:p>
    <w:p w:rsidR="007F5FFB" w:rsidRDefault="007F5FFB">
      <w:pPr>
        <w:ind w:left="720"/>
      </w:pPr>
    </w:p>
    <w:p w:rsidR="007F5FFB" w:rsidRDefault="002B1EF7">
      <w:pPr>
        <w:pStyle w:val="Heading2"/>
        <w:numPr>
          <w:ilvl w:val="0"/>
          <w:numId w:val="9"/>
        </w:numPr>
      </w:pPr>
      <w:r>
        <w:t>MINUTES</w:t>
      </w:r>
    </w:p>
    <w:p w:rsidR="007F5FFB" w:rsidRDefault="002B1EF7">
      <w:pPr>
        <w:ind w:left="1080"/>
      </w:pPr>
      <w:r>
        <w:t>Minutes shall not be required.</w:t>
      </w:r>
    </w:p>
    <w:p w:rsidR="007F5FFB" w:rsidRDefault="007F5FFB">
      <w:pPr>
        <w:ind w:left="720"/>
      </w:pPr>
    </w:p>
    <w:p w:rsidR="007F5FFB" w:rsidRDefault="002B1EF7">
      <w:pPr>
        <w:pStyle w:val="Heading2"/>
        <w:numPr>
          <w:ilvl w:val="0"/>
          <w:numId w:val="9"/>
        </w:numPr>
      </w:pPr>
      <w:r>
        <w:t>PROCESS FOR AMENDMENT of CHARTER</w:t>
      </w:r>
    </w:p>
    <w:p w:rsidR="007F5FFB" w:rsidRDefault="002B1EF7">
      <w:pPr>
        <w:ind w:left="1080"/>
      </w:pPr>
      <w:r>
        <w:t>This charter may be amended by the Executive Leadership Team.</w:t>
      </w:r>
    </w:p>
    <w:p w:rsidR="007F5FFB" w:rsidRDefault="007F5FFB">
      <w:pPr>
        <w:ind w:left="720"/>
      </w:pPr>
    </w:p>
    <w:p w:rsidR="007F5FFB" w:rsidRDefault="002B1EF7">
      <w:pPr>
        <w:pStyle w:val="Heading2"/>
        <w:numPr>
          <w:ilvl w:val="0"/>
          <w:numId w:val="9"/>
        </w:numPr>
      </w:pPr>
      <w:r>
        <w:t>EFFECTIVE DATES and CHANGE RECORDS</w:t>
      </w:r>
    </w:p>
    <w:p w:rsidR="007F5FFB" w:rsidRDefault="002B1EF7">
      <w:pPr>
        <w:numPr>
          <w:ilvl w:val="0"/>
          <w:numId w:val="6"/>
        </w:numPr>
        <w:contextualSpacing/>
      </w:pPr>
      <w:r>
        <w:t xml:space="preserve">Approved: </w:t>
      </w:r>
    </w:p>
    <w:p w:rsidR="007F5FFB" w:rsidRDefault="002B1EF7">
      <w:pPr>
        <w:numPr>
          <w:ilvl w:val="1"/>
          <w:numId w:val="6"/>
        </w:numPr>
        <w:contextualSpacing/>
      </w:pPr>
      <w:r>
        <w:t xml:space="preserve">The </w:t>
      </w:r>
      <w:r>
        <w:t>Accessible Technology Work Group approved the Accessible Work Group Procedures on January 22, 2018</w:t>
      </w:r>
    </w:p>
    <w:p w:rsidR="007F5FFB" w:rsidRDefault="002B1EF7">
      <w:pPr>
        <w:numPr>
          <w:ilvl w:val="1"/>
          <w:numId w:val="6"/>
        </w:numPr>
        <w:contextualSpacing/>
      </w:pPr>
      <w:r>
        <w:t>The Executive Leadership Team approved the Accessible Work Group Procedures on January 31, 2018</w:t>
      </w:r>
    </w:p>
    <w:p w:rsidR="007F5FFB" w:rsidRDefault="007F5FFB"/>
    <w:sectPr w:rsidR="007F5FF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549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1EF7">
      <w:r>
        <w:separator/>
      </w:r>
    </w:p>
  </w:endnote>
  <w:endnote w:type="continuationSeparator" w:id="0">
    <w:p w:rsidR="00000000" w:rsidRDefault="002B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FB" w:rsidRDefault="007F5FFB">
    <w:pPr>
      <w:tabs>
        <w:tab w:val="center" w:pos="4320"/>
        <w:tab w:val="right" w:pos="8640"/>
      </w:tabs>
      <w:rPr>
        <w:sz w:val="20"/>
        <w:szCs w:val="20"/>
      </w:rPr>
    </w:pPr>
  </w:p>
  <w:p w:rsidR="007F5FFB" w:rsidRDefault="002B1EF7">
    <w:pP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DRAFT (Approved by the Executive Leadership Team: [</w:t>
    </w:r>
    <w:r>
      <w:rPr>
        <w:sz w:val="20"/>
        <w:szCs w:val="20"/>
      </w:rPr>
      <w:t>June 30</w:t>
    </w:r>
    <w:r>
      <w:rPr>
        <w:sz w:val="20"/>
        <w:szCs w:val="20"/>
      </w:rPr>
      <w:t>, 2018])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FB" w:rsidRDefault="007F5FFB">
    <w:pPr>
      <w:tabs>
        <w:tab w:val="center" w:pos="4320"/>
        <w:tab w:val="right" w:pos="8640"/>
      </w:tabs>
      <w:rPr>
        <w:sz w:val="20"/>
        <w:szCs w:val="20"/>
      </w:rPr>
    </w:pPr>
  </w:p>
  <w:p w:rsidR="007F5FFB" w:rsidRDefault="002B1EF7">
    <w:pPr>
      <w:tabs>
        <w:tab w:val="center" w:pos="4320"/>
        <w:tab w:val="right" w:pos="8640"/>
      </w:tabs>
      <w:rPr>
        <w:sz w:val="20"/>
        <w:szCs w:val="20"/>
      </w:rPr>
    </w:pPr>
    <w:r>
      <w:rPr>
        <w:sz w:val="20"/>
        <w:szCs w:val="20"/>
      </w:rPr>
      <w:t>DRAFT (Approved by the Executi</w:t>
    </w:r>
    <w:r>
      <w:rPr>
        <w:sz w:val="20"/>
        <w:szCs w:val="20"/>
      </w:rPr>
      <w:t>ve Leadership Team</w:t>
    </w:r>
    <w:r>
      <w:rPr>
        <w:sz w:val="20"/>
        <w:szCs w:val="20"/>
      </w:rPr>
      <w:t>: [</w:t>
    </w:r>
    <w:r>
      <w:rPr>
        <w:sz w:val="20"/>
        <w:szCs w:val="20"/>
      </w:rPr>
      <w:t>XXX</w:t>
    </w:r>
    <w:r>
      <w:rPr>
        <w:sz w:val="20"/>
        <w:szCs w:val="20"/>
      </w:rPr>
      <w:t>])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1EF7">
      <w:r>
        <w:separator/>
      </w:r>
    </w:p>
  </w:footnote>
  <w:footnote w:type="continuationSeparator" w:id="0">
    <w:p w:rsidR="00000000" w:rsidRDefault="002B1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FB" w:rsidRDefault="002B1EF7">
    <w:pPr>
      <w:tabs>
        <w:tab w:val="right" w:pos="9180"/>
        <w:tab w:val="center" w:pos="4320"/>
        <w:tab w:val="right" w:pos="8640"/>
      </w:tabs>
      <w:rPr>
        <w:b/>
        <w:sz w:val="20"/>
        <w:szCs w:val="20"/>
      </w:rPr>
    </w:pPr>
    <w:r>
      <w:rPr>
        <w:b/>
        <w:sz w:val="20"/>
        <w:szCs w:val="20"/>
      </w:rPr>
      <w:t>Accessible Technology Work Group Procedural Template (DRAFT)</w:t>
    </w:r>
    <w:r>
      <w:rPr>
        <w:b/>
        <w:sz w:val="20"/>
        <w:szCs w:val="20"/>
      </w:rPr>
      <w:tab/>
    </w:r>
    <w:r>
      <w:rPr>
        <w:b/>
        <w:sz w:val="20"/>
        <w:szCs w:val="20"/>
      </w:rPr>
      <w:t>P</w:t>
    </w:r>
    <w:r>
      <w:rPr>
        <w:b/>
        <w:sz w:val="20"/>
        <w:szCs w:val="20"/>
      </w:rPr>
      <w:t>age</w:t>
    </w:r>
    <w:r>
      <w:rPr>
        <w:b/>
        <w:sz w:val="20"/>
        <w:szCs w:val="20"/>
      </w:rPr>
      <w:t xml:space="preserve">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</w:p>
  <w:p w:rsidR="007F5FFB" w:rsidRDefault="007F5FFB">
    <w:pPr>
      <w:tabs>
        <w:tab w:val="center" w:pos="4320"/>
        <w:tab w:val="right" w:pos="8640"/>
      </w:tabs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FB" w:rsidRDefault="002B1EF7">
    <w:pPr>
      <w:pStyle w:val="Title"/>
      <w:spacing w:before="0" w:after="0"/>
      <w:jc w:val="center"/>
      <w:rPr>
        <w:rFonts w:ascii="Garamond" w:eastAsia="Garamond" w:hAnsi="Garamond" w:cs="Garamond"/>
        <w:sz w:val="36"/>
        <w:szCs w:val="36"/>
      </w:rPr>
    </w:pPr>
    <w:r>
      <w:rPr>
        <w:rFonts w:ascii="Garamond" w:eastAsia="Garamond" w:hAnsi="Garamond" w:cs="Garamond"/>
        <w:sz w:val="36"/>
        <w:szCs w:val="36"/>
      </w:rPr>
      <w:t>ACCESSIBLE TECHNOLOGY WORK GROUP</w:t>
    </w:r>
  </w:p>
  <w:p w:rsidR="007F5FFB" w:rsidRDefault="002B1EF7">
    <w:pPr>
      <w:pStyle w:val="Title"/>
      <w:tabs>
        <w:tab w:val="left" w:pos="2985"/>
        <w:tab w:val="center" w:pos="4680"/>
      </w:tabs>
      <w:spacing w:before="0" w:after="0"/>
      <w:jc w:val="center"/>
      <w:rPr>
        <w:rFonts w:ascii="Garamond" w:eastAsia="Garamond" w:hAnsi="Garamond" w:cs="Garamond"/>
        <w:sz w:val="36"/>
        <w:szCs w:val="36"/>
      </w:rPr>
    </w:pPr>
    <w:bookmarkStart w:id="2" w:name="_vv1legdgydc0" w:colFirst="0" w:colLast="0"/>
    <w:bookmarkEnd w:id="2"/>
    <w:r>
      <w:rPr>
        <w:rFonts w:ascii="Garamond" w:eastAsia="Garamond" w:hAnsi="Garamond" w:cs="Garamond"/>
        <w:sz w:val="36"/>
        <w:szCs w:val="36"/>
      </w:rPr>
      <w:t>DRAFT PROCEDURAL TEMPLATE</w:t>
    </w:r>
  </w:p>
  <w:p w:rsidR="007F5FFB" w:rsidRDefault="007F5FFB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7CAB"/>
    <w:multiLevelType w:val="multilevel"/>
    <w:tmpl w:val="1322711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A0561E"/>
    <w:multiLevelType w:val="multilevel"/>
    <w:tmpl w:val="046CDE6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23D5463"/>
    <w:multiLevelType w:val="multilevel"/>
    <w:tmpl w:val="5A66847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1741A3A"/>
    <w:multiLevelType w:val="multilevel"/>
    <w:tmpl w:val="B902FF4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3EF3E1C"/>
    <w:multiLevelType w:val="multilevel"/>
    <w:tmpl w:val="F440CB36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243404"/>
    <w:multiLevelType w:val="multilevel"/>
    <w:tmpl w:val="783058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0A6B22"/>
    <w:multiLevelType w:val="multilevel"/>
    <w:tmpl w:val="9A9CCF4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401F9E"/>
    <w:multiLevelType w:val="multilevel"/>
    <w:tmpl w:val="6B088B4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B640AAF"/>
    <w:multiLevelType w:val="multilevel"/>
    <w:tmpl w:val="1766F9AC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FB"/>
    <w:rsid w:val="002B1EF7"/>
    <w:rsid w:val="007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C0E38-EF6E-4A28-BF78-60EC843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Garamond" w:eastAsia="Garamond" w:hAnsi="Garamond" w:cs="Garamond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Garamond" w:eastAsia="Garamond" w:hAnsi="Garamond" w:cs="Garamond"/>
      <w:b/>
    </w:rPr>
  </w:style>
  <w:style w:type="paragraph" w:styleId="Heading3">
    <w:name w:val="heading 3"/>
    <w:basedOn w:val="Normal"/>
    <w:next w:val="Normal"/>
    <w:pPr>
      <w:keepNext/>
      <w:ind w:left="90"/>
      <w:outlineLvl w:val="2"/>
    </w:pPr>
    <w:rPr>
      <w:rFonts w:ascii="Garamond" w:eastAsia="Garamond" w:hAnsi="Garamond" w:cs="Garamond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c.ctc.edu/info/webresources2/internal/Policy/ADMINISTRATIVE%20POLICIES%20Section%20700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cc.ctc.edu/info/webresources2/internal/Policy/ADMINISTRATIVE%20POLICIES%20Section%20700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cc.ctc.edu/info/webresources2/internal/Policy/ADMINISTRATIVE%20POLICIES%20Section%2070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Columbia College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Leno, Rosie</dc:creator>
  <cp:lastModifiedBy>Leno, Rosie</cp:lastModifiedBy>
  <cp:revision>2</cp:revision>
  <dcterms:created xsi:type="dcterms:W3CDTF">2018-02-05T22:42:00Z</dcterms:created>
  <dcterms:modified xsi:type="dcterms:W3CDTF">2018-02-05T22:42:00Z</dcterms:modified>
</cp:coreProperties>
</file>